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B" w:rsidRDefault="001665DB"/>
    <w:tbl>
      <w:tblPr>
        <w:tblW w:w="0" w:type="auto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7920"/>
      </w:tblGrid>
      <w:tr w:rsidR="001665DB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FE2AAE" w:rsidRDefault="009F3422" w:rsidP="00FE2AAE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3D3512" wp14:editId="1429BCF9">
                  <wp:simplePos x="0" y="0"/>
                  <wp:positionH relativeFrom="column">
                    <wp:posOffset>5532755</wp:posOffset>
                  </wp:positionH>
                  <wp:positionV relativeFrom="page">
                    <wp:posOffset>28575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2AAE">
              <w:rPr>
                <w:noProof/>
              </w:rPr>
              <w:drawing>
                <wp:inline distT="0" distB="0" distL="0" distR="0" wp14:anchorId="5E1322CD" wp14:editId="1F2AEE56">
                  <wp:extent cx="1189355" cy="1189355"/>
                  <wp:effectExtent l="0" t="0" r="0" b="0"/>
                  <wp:docPr id="4" name="il_fi" descr="http://jonctionordsud.com/wp-content/uploads/2014/11/logo-academie-ami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onctionordsud.com/wp-content/uploads/2014/11/logo-academie-ami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AAE" w:rsidRPr="00FE2AAE">
              <w:rPr>
                <w:rFonts w:cs="Arial"/>
                <w:b/>
                <w:bCs/>
                <w:iCs/>
                <w:sz w:val="36"/>
                <w:szCs w:val="26"/>
              </w:rPr>
              <w:t xml:space="preserve">                         </w:t>
            </w:r>
            <w:r w:rsidR="00FE2AAE">
              <w:rPr>
                <w:rFonts w:cs="Arial"/>
                <w:b/>
                <w:bCs/>
                <w:iCs/>
                <w:sz w:val="36"/>
                <w:szCs w:val="26"/>
              </w:rPr>
              <w:t>S</w:t>
            </w:r>
            <w:r w:rsidR="00FE2AAE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ARL GOBERT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AMIENS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2AAE" w:rsidRDefault="00FE2AAE" w:rsidP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Martin Philippe, lycée Gérard de Nerval Soissons (02)</w:t>
            </w:r>
            <w:r w:rsidR="003069FA">
              <w:rPr>
                <w:szCs w:val="20"/>
              </w:rPr>
              <w:t xml:space="preserve"> auteurs </w:t>
            </w:r>
          </w:p>
          <w:p w:rsidR="001665DB" w:rsidRDefault="00FE2AAE" w:rsidP="00FE2AAE">
            <w:pPr>
              <w:ind w:left="0" w:right="0"/>
              <w:jc w:val="left"/>
            </w:pPr>
            <w:proofErr w:type="spellStart"/>
            <w:r>
              <w:rPr>
                <w:szCs w:val="20"/>
              </w:rPr>
              <w:t>Lefevre</w:t>
            </w:r>
            <w:proofErr w:type="spellEnd"/>
            <w:r>
              <w:rPr>
                <w:szCs w:val="20"/>
              </w:rPr>
              <w:t xml:space="preserve"> Denis, IPR académie d’Amiens (</w:t>
            </w:r>
            <w:r w:rsidR="003069FA">
              <w:rPr>
                <w:szCs w:val="20"/>
              </w:rPr>
              <w:t>relecteur</w:t>
            </w:r>
            <w:r>
              <w:rPr>
                <w:szCs w:val="20"/>
              </w:rPr>
              <w:t>)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  <w:jc w:val="left"/>
            </w:pPr>
            <w:r>
              <w:rPr>
                <w:szCs w:val="20"/>
              </w:rPr>
              <w:t> </w:t>
            </w:r>
            <w:r w:rsidR="00FE2AAE">
              <w:rPr>
                <w:szCs w:val="20"/>
              </w:rPr>
              <w:t xml:space="preserve">Atelier, processus, TVA, achats, ventes, banque, opérations courantes, constitution, immobilisations, fiche amortissements, constitution, 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E2AAE" w:rsidP="009F3422">
            <w:pPr>
              <w:suppressAutoHyphens w:val="0"/>
              <w:overflowPunct w:val="0"/>
              <w:autoSpaceDE w:val="0"/>
              <w:adjustRightInd w:val="0"/>
              <w:ind w:left="0" w:right="0"/>
            </w:pPr>
            <w:r w:rsidRPr="00FE2AAE">
              <w:rPr>
                <w:rFonts w:ascii="Times New Roman" w:hAnsi="Times New Roman"/>
              </w:rPr>
              <w:t xml:space="preserve">La </w:t>
            </w:r>
            <w:r w:rsidRPr="00FE2AAE">
              <w:rPr>
                <w:rFonts w:ascii="Times New Roman" w:hAnsi="Times New Roman"/>
                <w:b/>
              </w:rPr>
              <w:t>Sarl GOBERT</w:t>
            </w:r>
            <w:r w:rsidRPr="00FE2AAE">
              <w:rPr>
                <w:rFonts w:ascii="Times New Roman" w:hAnsi="Times New Roman"/>
              </w:rPr>
              <w:t xml:space="preserve"> est une société crée le 01 décembre N. Elle est implantée dans la zone franche du Parc Gouraud à Soissons (02) où elle réalise des prest</w:t>
            </w:r>
            <w:r w:rsidRPr="00FE2AAE">
              <w:rPr>
                <w:rFonts w:ascii="Times New Roman" w:hAnsi="Times New Roman"/>
              </w:rPr>
              <w:t>a</w:t>
            </w:r>
            <w:r w:rsidRPr="00FE2AAE">
              <w:rPr>
                <w:rFonts w:ascii="Times New Roman" w:hAnsi="Times New Roman"/>
              </w:rPr>
              <w:t>tions de publicité pour ses clients.</w:t>
            </w:r>
            <w:r>
              <w:rPr>
                <w:rFonts w:ascii="Times New Roman" w:hAnsi="Times New Roman"/>
              </w:rPr>
              <w:t xml:space="preserve"> Il s’agit de réaliser </w:t>
            </w:r>
            <w:r w:rsidR="009F3422">
              <w:rPr>
                <w:rFonts w:ascii="Times New Roman" w:hAnsi="Times New Roman"/>
              </w:rPr>
              <w:t xml:space="preserve">l’analyse d’un processus, </w:t>
            </w:r>
            <w:r>
              <w:rPr>
                <w:rFonts w:ascii="Times New Roman" w:hAnsi="Times New Roman"/>
              </w:rPr>
              <w:t>les opérations engendrées par la constitution, l’acquisition d’immobilisation</w:t>
            </w:r>
            <w:r w:rsidR="009F342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, d</w:t>
            </w:r>
            <w:r w:rsidR="009F3422">
              <w:rPr>
                <w:rFonts w:ascii="Times New Roman" w:hAnsi="Times New Roman"/>
              </w:rPr>
              <w:t xml:space="preserve">es </w:t>
            </w:r>
            <w:r>
              <w:rPr>
                <w:rFonts w:ascii="Times New Roman" w:hAnsi="Times New Roman"/>
              </w:rPr>
              <w:t>opérations co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rantes et </w:t>
            </w:r>
            <w:r w:rsidR="009F3422">
              <w:rPr>
                <w:rFonts w:ascii="Times New Roman" w:hAnsi="Times New Roman"/>
              </w:rPr>
              <w:t xml:space="preserve">une déclaration </w:t>
            </w:r>
            <w:r>
              <w:rPr>
                <w:rFonts w:ascii="Times New Roman" w:hAnsi="Times New Roman"/>
              </w:rPr>
              <w:t>de TVA du mois de décembre.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4 séances de 3 heures en atelier professionnel</w:t>
            </w:r>
          </w:p>
          <w:p w:rsidR="00FE2AAE" w:rsidRDefault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Milieu de première année de BTS CG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FE2AAE">
              <w:t xml:space="preserve"> :</w:t>
            </w:r>
            <w:r w:rsidR="00FE2AAE">
              <w:br/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E2AAE">
            <w:pPr>
              <w:ind w:left="0" w:right="0"/>
              <w:jc w:val="left"/>
            </w:pPr>
            <w:r>
              <w:rPr>
                <w:szCs w:val="20"/>
              </w:rPr>
              <w:t>Etudiants de BTS CG1, en groupe, avec répartition possible des missions à l’intérieur du groupe.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22" w:rsidRPr="009F3422" w:rsidRDefault="009F3422" w:rsidP="00ED3ED8">
            <w:pPr>
              <w:ind w:left="0" w:right="0"/>
              <w:jc w:val="left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9F3422">
              <w:rPr>
                <w:u w:val="single"/>
              </w:rPr>
              <w:t>ctivités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1.2.1. Tenue et suivi des dossiers clients : du contrôle du devis au contrôle de l’encaissement,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1.3.1. Enregistrement, contrôle et validation des opérations relatives aux clients (y compris celles générées par le PGI),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1.7.1. Présentation des caractéristiques de l’organisation du processus « Contrôle et traitement des opérations commerciales »,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1.7.2. Analyse du processus « Contrôle et traitement comptable des opérations commerciales »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2.2.1. Identification des opérations relatives à la constitution de l’entreprise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2.3.2. Réalisation, enregistrement, contrôle des travaux d’inventaire relatifs aux immobilisations,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3.1.1 Réalisation de la veille juridique nécessaire à l’application des obligations fiscales,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3.1.2 Identification des obligations fiscales de l’organisation,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3.2.1. Préparation de la déclaration de TVA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3.2.3. Enregistrements comptables de la déclaration de TVA,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3.2.4. Conseil en matière de régime et d’options de TVA,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7.1.1. Caractérisation du SI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7.1.2. Evaluation des besoins d’information</w:t>
            </w:r>
          </w:p>
          <w:p w:rsidR="00840085" w:rsidRDefault="00ED3ED8" w:rsidP="00ED3ED8">
            <w:pPr>
              <w:ind w:left="0" w:right="0"/>
              <w:jc w:val="left"/>
            </w:pPr>
            <w:r>
              <w:t>7.1.4. Réalisation d’une veille informationnelle</w:t>
            </w:r>
          </w:p>
          <w:p w:rsidR="009F3422" w:rsidRDefault="009F3422" w:rsidP="00ED3ED8">
            <w:pPr>
              <w:ind w:left="0" w:right="0"/>
              <w:jc w:val="left"/>
            </w:pP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lastRenderedPageBreak/>
              <w:t xml:space="preserve">Type de ressource 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 w:rsidP="009F3422">
            <w:pPr>
              <w:ind w:left="0" w:right="0"/>
              <w:jc w:val="left"/>
            </w:pPr>
            <w:r>
              <w:t>Atelier professionnel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22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PGI, tableur, texteur</w:t>
            </w:r>
          </w:p>
          <w:p w:rsidR="001665DB" w:rsidRDefault="009F3422">
            <w:pPr>
              <w:ind w:left="0" w:right="0"/>
              <w:jc w:val="left"/>
            </w:pPr>
            <w:r>
              <w:rPr>
                <w:szCs w:val="20"/>
              </w:rPr>
              <w:t>Internet ou source documentaire fiscale papier</w:t>
            </w:r>
            <w:r w:rsidR="003069FA">
              <w:rPr>
                <w:szCs w:val="20"/>
              </w:rPr>
              <w:br/>
              <w:t> 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Atelier professionnel par groupe de 4 étudiant</w:t>
            </w:r>
            <w:proofErr w:type="gramStart"/>
            <w:r>
              <w:rPr>
                <w:szCs w:val="20"/>
              </w:rPr>
              <w:t>( e</w:t>
            </w:r>
            <w:proofErr w:type="gramEnd"/>
            <w:r>
              <w:rPr>
                <w:szCs w:val="20"/>
              </w:rPr>
              <w:t xml:space="preserve">)s pendant 4 périodes de 3 heures en milieu de première année. Il s’agit de réaliser </w:t>
            </w:r>
            <w:r w:rsidR="0067738E">
              <w:rPr>
                <w:szCs w:val="20"/>
              </w:rPr>
              <w:t>5</w:t>
            </w:r>
            <w:r>
              <w:rPr>
                <w:szCs w:val="20"/>
              </w:rPr>
              <w:t xml:space="preserve"> missions :</w:t>
            </w:r>
          </w:p>
          <w:p w:rsidR="009F3422" w:rsidRPr="009F3422" w:rsidRDefault="009F3422" w:rsidP="009F3422">
            <w:pPr>
              <w:pStyle w:val="Paragraphedeliste"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 xml:space="preserve">MISSION 1 : ANALYSE DE PROCESSUS </w:t>
            </w:r>
          </w:p>
          <w:p w:rsidR="009F3422" w:rsidRPr="009F3422" w:rsidRDefault="009F3422" w:rsidP="009F3422">
            <w:pPr>
              <w:pStyle w:val="Paragraphedeliste"/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outlineLvl w:val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>MISSION 2 : COMPTABILISATION D’OPÉRATIONS SPÉCIFIQUES LIÉES À LA CONSTITUTION</w:t>
            </w:r>
          </w:p>
          <w:p w:rsidR="009F3422" w:rsidRPr="009F3422" w:rsidRDefault="009F3422" w:rsidP="009F3422">
            <w:pPr>
              <w:pStyle w:val="Paragraphedeliste"/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outlineLvl w:val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>MISSION 3 : COMPTABILISATION D’UNE ACQUISITION D’IMMOBILISATION</w:t>
            </w:r>
          </w:p>
          <w:p w:rsidR="009F3422" w:rsidRPr="009F3422" w:rsidRDefault="009F3422" w:rsidP="009F3422">
            <w:pPr>
              <w:pStyle w:val="Paragraphedeliste"/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jc w:val="left"/>
              <w:outlineLvl w:val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 xml:space="preserve">MISSION </w:t>
            </w:r>
            <w:proofErr w:type="gramStart"/>
            <w:r w:rsidRPr="009F3422">
              <w:rPr>
                <w:rFonts w:ascii="Times New Roman" w:hAnsi="Times New Roman"/>
              </w:rPr>
              <w:t>4  :</w:t>
            </w:r>
            <w:proofErr w:type="gramEnd"/>
            <w:r w:rsidRPr="009F3422">
              <w:rPr>
                <w:rFonts w:ascii="Times New Roman" w:hAnsi="Times New Roman"/>
              </w:rPr>
              <w:t xml:space="preserve"> COMPTABILISATION DES OPÉRATIONS CO</w:t>
            </w:r>
            <w:r w:rsidRPr="009F3422">
              <w:rPr>
                <w:rFonts w:ascii="Times New Roman" w:hAnsi="Times New Roman"/>
              </w:rPr>
              <w:t>U</w:t>
            </w:r>
            <w:r w:rsidRPr="009F3422">
              <w:rPr>
                <w:rFonts w:ascii="Times New Roman" w:hAnsi="Times New Roman"/>
              </w:rPr>
              <w:t>RANTES</w:t>
            </w:r>
          </w:p>
          <w:p w:rsidR="009F3422" w:rsidRPr="009F3422" w:rsidRDefault="009F3422" w:rsidP="009F3422">
            <w:pPr>
              <w:pStyle w:val="Paragraphedeliste"/>
              <w:keepNext/>
              <w:numPr>
                <w:ilvl w:val="0"/>
                <w:numId w:val="1"/>
              </w:numPr>
              <w:suppressAutoHyphens w:val="0"/>
              <w:overflowPunct w:val="0"/>
              <w:autoSpaceDE w:val="0"/>
              <w:adjustRightInd w:val="0"/>
              <w:ind w:right="0"/>
              <w:jc w:val="left"/>
              <w:outlineLvl w:val="0"/>
              <w:rPr>
                <w:rFonts w:ascii="Times New Roman" w:hAnsi="Times New Roman"/>
              </w:rPr>
            </w:pPr>
            <w:r w:rsidRPr="009F3422">
              <w:rPr>
                <w:rFonts w:ascii="Times New Roman" w:hAnsi="Times New Roman"/>
              </w:rPr>
              <w:t>MISSION 5 : DÉCLARATION DE TVA</w:t>
            </w:r>
          </w:p>
          <w:p w:rsidR="009F3422" w:rsidRDefault="009F3422">
            <w:pPr>
              <w:ind w:left="0" w:right="0"/>
              <w:jc w:val="left"/>
            </w:pP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 w:rsidP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Document élève </w:t>
            </w:r>
            <w:proofErr w:type="gramStart"/>
            <w:r>
              <w:rPr>
                <w:szCs w:val="20"/>
              </w:rPr>
              <w:t>:  BTS</w:t>
            </w:r>
            <w:proofErr w:type="gramEnd"/>
            <w:r>
              <w:rPr>
                <w:szCs w:val="20"/>
              </w:rPr>
              <w:t>-CG-Casgobert-etudiant.</w:t>
            </w:r>
            <w:r w:rsidR="003D3B64">
              <w:rPr>
                <w:szCs w:val="20"/>
              </w:rPr>
              <w:t>zip</w:t>
            </w:r>
          </w:p>
          <w:p w:rsidR="009F3422" w:rsidRDefault="009F3422" w:rsidP="003D3B64">
            <w:pPr>
              <w:ind w:left="0" w:right="0"/>
              <w:jc w:val="left"/>
            </w:pPr>
            <w:r>
              <w:rPr>
                <w:szCs w:val="20"/>
              </w:rPr>
              <w:t>Document professeur : BTS-CG-Casgobertcomplpedago.</w:t>
            </w:r>
            <w:r w:rsidR="003D3B64">
              <w:rPr>
                <w:szCs w:val="20"/>
              </w:rPr>
              <w:t>zip</w:t>
            </w:r>
            <w:bookmarkStart w:id="0" w:name="_GoBack"/>
            <w:bookmarkEnd w:id="0"/>
          </w:p>
        </w:tc>
      </w:tr>
      <w:tr w:rsidR="001665DB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9F3422">
              <w:rPr>
                <w:szCs w:val="20"/>
              </w:rPr>
              <w:t xml:space="preserve"> </w:t>
            </w:r>
            <w:r w:rsidR="0067738E">
              <w:rPr>
                <w:szCs w:val="20"/>
              </w:rPr>
              <w:t xml:space="preserve">fichiers sous licence </w:t>
            </w:r>
            <w:proofErr w:type="spellStart"/>
            <w:r w:rsidR="0067738E">
              <w:rPr>
                <w:szCs w:val="20"/>
              </w:rPr>
              <w:t>commons</w:t>
            </w:r>
            <w:proofErr w:type="spellEnd"/>
          </w:p>
        </w:tc>
      </w:tr>
    </w:tbl>
    <w:p w:rsidR="001665DB" w:rsidRDefault="001665DB"/>
    <w:p w:rsidR="001665DB" w:rsidRDefault="001665DB"/>
    <w:sectPr w:rsidR="001665D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67" w:rsidRDefault="00240D67">
      <w:r>
        <w:separator/>
      </w:r>
    </w:p>
  </w:endnote>
  <w:endnote w:type="continuationSeparator" w:id="0">
    <w:p w:rsidR="00240D67" w:rsidRDefault="002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67" w:rsidRDefault="00240D67">
      <w:r>
        <w:rPr>
          <w:color w:val="000000"/>
        </w:rPr>
        <w:separator/>
      </w:r>
    </w:p>
  </w:footnote>
  <w:footnote w:type="continuationSeparator" w:id="0">
    <w:p w:rsidR="00240D67" w:rsidRDefault="002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A84"/>
    <w:multiLevelType w:val="hybridMultilevel"/>
    <w:tmpl w:val="54E09D7C"/>
    <w:lvl w:ilvl="0" w:tplc="832CB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7"/>
    <w:rsid w:val="00014DD7"/>
    <w:rsid w:val="001665DB"/>
    <w:rsid w:val="002330A9"/>
    <w:rsid w:val="00240D67"/>
    <w:rsid w:val="00257B82"/>
    <w:rsid w:val="003069FA"/>
    <w:rsid w:val="003D3B64"/>
    <w:rsid w:val="0067738E"/>
    <w:rsid w:val="00840085"/>
    <w:rsid w:val="008F075C"/>
    <w:rsid w:val="00921F3E"/>
    <w:rsid w:val="009F3422"/>
    <w:rsid w:val="00D431CC"/>
    <w:rsid w:val="00ED3ED8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83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prof.martin@laposte.net</dc:creator>
  <cp:lastModifiedBy>prof.martin@laposte.net</cp:lastModifiedBy>
  <cp:revision>5</cp:revision>
  <dcterms:created xsi:type="dcterms:W3CDTF">2015-06-11T13:41:00Z</dcterms:created>
  <dcterms:modified xsi:type="dcterms:W3CDTF">2015-06-22T14:35:00Z</dcterms:modified>
</cp:coreProperties>
</file>